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6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IN THE COURT OF THE METROPOLITAN MAGISTRATE, SAKET COURTS, NEW DELHI</w:t>
      </w:r>
    </w:p>
    <w:p>
      <w:pPr>
        <w:spacing w:after="120" w:line="360"/>
        <w:jc w:val="center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Complaint Case No. ______ of 2026</w:t>
      </w:r>
    </w:p>
    <w:p>
      <w:pPr>
        <w:spacing w:after="60" w:line="360"/>
        <w:jc w:val="left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IN THE MATTER OF:</w:t>
      </w:r>
    </w:p>
    <w:p>
      <w:pPr>
        <w:spacing w:after="120" w:line="360"/>
        <w:jc w:val="left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Rakesh Sharma … Complainant</w:t>
      </w:r>
    </w:p>
    <w:p>
      <w:pPr>
        <w:spacing w:after="120" w:line="360"/>
        <w:jc w:val="center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versus</w:t>
      </w:r>
    </w:p>
    <w:p>
      <w:pPr>
        <w:spacing w:after="240" w:line="360"/>
        <w:jc w:val="left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Mehta Trading Co. … Accused</w:t>
      </w:r>
    </w:p>
    <w:p>
      <w:pPr>
        <w:spacing w:after="240" w:line="36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LIST OF DATES</w:t>
      </w:r>
    </w:p>
    <w:tbl>
      <w:tblPr>
        <w:tblW w:type="dxa" w:w="7371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dxa" w:w="136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line="36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8"/>
                <w:szCs w:val="28"/>
              </w:rPr>
              <w:t xml:space="preserve">Date</w:t>
            </w:r>
          </w:p>
        </w:tc>
        <w:tc>
          <w:tcPr>
            <w:tcW w:type="dxa" w:w="4762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line="36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8"/>
                <w:szCs w:val="28"/>
              </w:rPr>
              <w:t xml:space="preserve">Event</w:t>
            </w:r>
          </w:p>
        </w:tc>
        <w:tc>
          <w:tcPr>
            <w:tcW w:type="dxa" w:w="1247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line="36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8"/>
                <w:szCs w:val="28"/>
              </w:rPr>
              <w:t xml:space="preserve">Page</w:t>
            </w:r>
          </w:p>
        </w:tc>
      </w:tr>
      <w:tr>
        <w:tc>
          <w:tcPr>
            <w:tcW w:type="dxa" w:w="136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line="360"/>
              <w:jc w:val="left"/>
            </w:pPr>
            <w:r>
              <w:rPr>
                <w:rFonts w:ascii="Times New Roman" w:cs="Times New Roman" w:eastAsia="Times New Roman" w:hAnsi="Times New Roman"/>
                <w:sz w:val="28"/>
                <w:szCs w:val="28"/>
              </w:rPr>
              <w:t xml:space="preserve">12.03.2026</w:t>
            </w:r>
          </w:p>
        </w:tc>
        <w:tc>
          <w:tcPr>
            <w:tcW w:type="dxa" w:w="4762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Cheque no. 004417 for Rs 4,80,000 drawn by the accused, Mehta Trading Co., on HDFC Bank, Karol Bagh, in favour of the complainant, towards goods supplied under invoice MT/2026/031.</w:t>
            </w:r>
          </w:p>
        </w:tc>
        <w:tc>
          <w:tcPr>
            <w:tcW w:type="dxa" w:w="1247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line="360"/>
              <w:jc w:val="left"/>
            </w:pPr>
            <w:r>
              <w:rPr>
                <w:rFonts w:ascii="Times New Roman" w:cs="Times New Roman" w:eastAsia="Times New Roman" w:hAnsi="Times New Roman"/>
                <w:sz w:val="28"/>
                <w:szCs w:val="28"/>
              </w:rPr>
              <w:t xml:space="preserve">A-1</w:t>
            </w:r>
          </w:p>
        </w:tc>
      </w:tr>
      <w:tr>
        <w:tc>
          <w:tcPr>
            <w:tcW w:type="dxa" w:w="136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line="360"/>
              <w:jc w:val="left"/>
            </w:pPr>
            <w:r>
              <w:rPr>
                <w:rFonts w:ascii="Times New Roman" w:cs="Times New Roman" w:eastAsia="Times New Roman" w:hAnsi="Times New Roman"/>
                <w:sz w:val="28"/>
                <w:szCs w:val="28"/>
              </w:rPr>
              <w:t xml:space="preserve">14.05.2026</w:t>
            </w:r>
          </w:p>
        </w:tc>
        <w:tc>
          <w:tcPr>
            <w:tcW w:type="dxa" w:w="4762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Cheque presented for encashment through the complainant's account at State Bank of India, Saket.</w:t>
            </w:r>
          </w:p>
        </w:tc>
        <w:tc>
          <w:tcPr>
            <w:tcW w:type="dxa" w:w="1247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line="360"/>
              <w:jc w:val="left"/>
            </w:pPr>
            <w:r>
              <w:rPr>
                <w:rFonts w:ascii="Times New Roman" w:cs="Times New Roman" w:eastAsia="Times New Roman" w:hAnsi="Times New Roman"/>
                <w:sz w:val="28"/>
                <w:szCs w:val="28"/>
              </w:rPr>
              <w:t xml:space="preserve">A-2</w:t>
            </w:r>
          </w:p>
        </w:tc>
      </w:tr>
      <w:tr>
        <w:tc>
          <w:tcPr>
            <w:tcW w:type="dxa" w:w="136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line="360"/>
              <w:jc w:val="left"/>
            </w:pPr>
            <w:r>
              <w:rPr>
                <w:rFonts w:ascii="Times New Roman" w:cs="Times New Roman" w:eastAsia="Times New Roman" w:hAnsi="Times New Roman"/>
                <w:sz w:val="28"/>
                <w:szCs w:val="28"/>
              </w:rPr>
              <w:t xml:space="preserve">18.05.2026</w:t>
            </w:r>
          </w:p>
        </w:tc>
        <w:tc>
          <w:tcPr>
            <w:tcW w:type="dxa" w:w="4762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Cheque returned unpaid with the remark "funds insufficient"; return memo received by the complainant the same day.</w:t>
            </w:r>
          </w:p>
        </w:tc>
        <w:tc>
          <w:tcPr>
            <w:tcW w:type="dxa" w:w="1247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line="360"/>
              <w:jc w:val="left"/>
            </w:pPr>
            <w:r>
              <w:rPr>
                <w:rFonts w:ascii="Times New Roman" w:cs="Times New Roman" w:eastAsia="Times New Roman" w:hAnsi="Times New Roman"/>
                <w:sz w:val="28"/>
                <w:szCs w:val="28"/>
              </w:rPr>
              <w:t xml:space="preserve">A-3</w:t>
            </w:r>
          </w:p>
        </w:tc>
      </w:tr>
      <w:tr>
        <w:tc>
          <w:tcPr>
            <w:tcW w:type="dxa" w:w="136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line="360"/>
              <w:jc w:val="left"/>
            </w:pPr>
            <w:r>
              <w:rPr>
                <w:rFonts w:ascii="Times New Roman" w:cs="Times New Roman" w:eastAsia="Times New Roman" w:hAnsi="Times New Roman"/>
                <w:sz w:val="28"/>
                <w:szCs w:val="28"/>
              </w:rPr>
              <w:t xml:space="preserve">09.06.2026</w:t>
            </w:r>
          </w:p>
        </w:tc>
        <w:tc>
          <w:tcPr>
            <w:tcW w:type="dxa" w:w="4762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Statutory demand notice under proviso (b) to section 138 sent by registered post and by email to the accused's registered address.</w:t>
            </w:r>
          </w:p>
        </w:tc>
        <w:tc>
          <w:tcPr>
            <w:tcW w:type="dxa" w:w="1247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line="360"/>
              <w:jc w:val="left"/>
            </w:pPr>
            <w:r>
              <w:rPr>
                <w:rFonts w:ascii="Times New Roman" w:cs="Times New Roman" w:eastAsia="Times New Roman" w:hAnsi="Times New Roman"/>
                <w:sz w:val="28"/>
                <w:szCs w:val="28"/>
              </w:rPr>
              <w:t xml:space="preserve">A-4, A-5</w:t>
            </w:r>
          </w:p>
        </w:tc>
      </w:tr>
      <w:tr>
        <w:tc>
          <w:tcPr>
            <w:tcW w:type="dxa" w:w="136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line="360"/>
              <w:jc w:val="left"/>
            </w:pPr>
            <w:r>
              <w:rPr>
                <w:rFonts w:ascii="Times New Roman" w:cs="Times New Roman" w:eastAsia="Times New Roman" w:hAnsi="Times New Roman"/>
                <w:sz w:val="28"/>
                <w:szCs w:val="28"/>
              </w:rPr>
              <w:t xml:space="preserve">12.06.2026</w:t>
            </w:r>
          </w:p>
        </w:tc>
        <w:tc>
          <w:tcPr>
            <w:tcW w:type="dxa" w:w="4762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Notice delivered to the accused (postal tracking report).</w:t>
            </w:r>
          </w:p>
        </w:tc>
        <w:tc>
          <w:tcPr>
            <w:tcW w:type="dxa" w:w="1247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line="360"/>
              <w:jc w:val="left"/>
            </w:pPr>
            <w:r>
              <w:rPr>
                <w:rFonts w:ascii="Times New Roman" w:cs="Times New Roman" w:eastAsia="Times New Roman" w:hAnsi="Times New Roman"/>
                <w:sz w:val="28"/>
                <w:szCs w:val="28"/>
              </w:rPr>
              <w:t xml:space="preserve">A-6</w:t>
            </w:r>
          </w:p>
        </w:tc>
      </w:tr>
      <w:tr>
        <w:tc>
          <w:tcPr>
            <w:tcW w:type="dxa" w:w="136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line="360"/>
              <w:jc w:val="left"/>
            </w:pPr>
            <w:r>
              <w:rPr>
                <w:rFonts w:ascii="Times New Roman" w:cs="Times New Roman" w:eastAsia="Times New Roman" w:hAnsi="Times New Roman"/>
                <w:sz w:val="28"/>
                <w:szCs w:val="28"/>
              </w:rPr>
              <w:t xml:space="preserve">27.06.2026</w:t>
            </w:r>
          </w:p>
        </w:tc>
        <w:tc>
          <w:tcPr>
            <w:tcW w:type="dxa" w:w="4762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Period of fifteen days under proviso (c) to section 138 expires; no payment made. Cause of action arises on 28.06.2026.</w:t>
            </w:r>
          </w:p>
        </w:tc>
        <w:tc>
          <w:tcPr>
            <w:tcW w:type="dxa" w:w="1247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line="360"/>
              <w:jc w:val="left"/>
            </w:pPr>
            <w:r>
              <w:rPr>
                <w:rFonts w:ascii="Times New Roman" w:cs="Times New Roman" w:eastAsia="Times New Roman" w:hAnsi="Times New Roman"/>
                <w:sz w:val="28"/>
                <w:szCs w:val="28"/>
              </w:rPr>
              <w:t xml:space="preserve">—</w:t>
            </w:r>
          </w:p>
        </w:tc>
      </w:tr>
      <w:tr>
        <w:tc>
          <w:tcPr>
            <w:tcW w:type="dxa" w:w="1360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line="360"/>
              <w:jc w:val="left"/>
            </w:pPr>
            <w:r>
              <w:rPr>
                <w:rFonts w:ascii="Times New Roman" w:cs="Times New Roman" w:eastAsia="Times New Roman" w:hAnsi="Times New Roman"/>
                <w:sz w:val="28"/>
                <w:szCs w:val="28"/>
              </w:rPr>
              <w:t xml:space="preserve">24.07.2026</w:t>
            </w:r>
          </w:p>
        </w:tc>
        <w:tc>
          <w:tcPr>
            <w:tcW w:type="dxa" w:w="4762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line="24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Present complaint under section 138 read with section 142 of the Negotiable Instruments Act, 1881, filed.</w:t>
            </w:r>
          </w:p>
        </w:tc>
        <w:tc>
          <w:tcPr>
            <w:tcW w:type="dxa" w:w="1247"/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spacing w:after="0" w:line="360"/>
              <w:jc w:val="left"/>
            </w:pPr>
            <w:r>
              <w:rPr>
                <w:rFonts w:ascii="Times New Roman" w:cs="Times New Roman" w:eastAsia="Times New Roman" w:hAnsi="Times New Roman"/>
                <w:sz w:val="28"/>
                <w:szCs w:val="28"/>
              </w:rPr>
              <w:t xml:space="preserve">A-7</w:t>
            </w:r>
          </w:p>
        </w:tc>
      </w:tr>
    </w:tbl>
    <w:p>
      <w:pPr>
        <w:spacing w:after="120" w:line="360"/>
        <w:jc w:val="left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/>
      </w:r>
    </w:p>
    <w:p>
      <w:pPr>
        <w:spacing w:after="120" w:line="240"/>
        <w:jc w:val="left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Note: a sample prepared by Pundora on a fictional matter for demonstration. The parties, the cheque and every date are invented and correspond to no real proceeding. Format: Delhi High Court Practice Directions No. 74/Rules/DHC dated 16.03.2021.</w:t>
      </w:r>
    </w:p>
    <w:sectPr>
      <w:footerReference w:type="default" r:id="rId7"/>
      <w:pgSz w:w="11906" w:h="16838" w:orient="portrait"/>
      <w:pgMar w:top="1134" w:right="2268" w:bottom="1134" w:left="226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List of Dates — Rakesh Sharma v. Mehta Trading Co. (sample)</dc:title>
  <dc:creator>Pundora (sample)</dc:creator>
  <cp:lastModifiedBy>Un-named</cp:lastModifiedBy>
  <cp:revision>1</cp:revision>
  <dcterms:created xsi:type="dcterms:W3CDTF">2026-10-03T10:18:18.994Z</dcterms:created>
  <dcterms:modified xsi:type="dcterms:W3CDTF">2026-10-03T10:18:18.996Z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